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51" w:rsidRDefault="009D6C51" w:rsidP="009D6C51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 CE" w:hAnsi="Arial CE" w:cs="Arial CE"/>
          <w:color w:val="222222"/>
          <w:sz w:val="44"/>
          <w:szCs w:val="44"/>
        </w:rPr>
      </w:pPr>
      <w:hyperlink r:id="rId4" w:history="1">
        <w:r>
          <w:rPr>
            <w:rStyle w:val="Siln"/>
            <w:rFonts w:ascii="Arial CE" w:hAnsi="Arial CE" w:cs="Arial CE"/>
            <w:color w:val="C41D1D"/>
            <w:sz w:val="44"/>
            <w:szCs w:val="44"/>
            <w:u w:val="single"/>
            <w:bdr w:val="none" w:sz="0" w:space="0" w:color="auto" w:frame="1"/>
          </w:rPr>
          <w:t xml:space="preserve">Kontrola kotlů v domácnostech na pevná paliva  </w:t>
        </w:r>
      </w:hyperlink>
    </w:p>
    <w:p w:rsidR="009D6C51" w:rsidRDefault="009D6C51" w:rsidP="009D6C51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 CE" w:hAnsi="Arial CE" w:cs="Arial CE"/>
          <w:color w:val="222222"/>
          <w:sz w:val="36"/>
          <w:szCs w:val="36"/>
        </w:rPr>
      </w:pPr>
    </w:p>
    <w:p w:rsidR="009D6C51" w:rsidRDefault="009D6C51" w:rsidP="009D6C51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22222"/>
          <w:sz w:val="18"/>
          <w:szCs w:val="18"/>
        </w:rPr>
      </w:pPr>
    </w:p>
    <w:p w:rsidR="009D6C51" w:rsidRDefault="009D6C51" w:rsidP="009D6C51">
      <w:pPr>
        <w:pStyle w:val="Normlnweb"/>
        <w:shd w:val="clear" w:color="auto" w:fill="FFFFFF"/>
        <w:spacing w:before="0" w:beforeAutospacing="0" w:after="0" w:afterAutospacing="0" w:line="270" w:lineRule="atLeast"/>
        <w:jc w:val="center"/>
        <w:rPr>
          <w:rFonts w:ascii="Arial CE" w:hAnsi="Arial CE" w:cs="Arial CE"/>
          <w:color w:val="222222"/>
          <w:sz w:val="18"/>
          <w:szCs w:val="18"/>
        </w:rPr>
      </w:pPr>
      <w:r>
        <w:rPr>
          <w:rFonts w:ascii="Georgia" w:hAnsi="Georgia"/>
          <w:i/>
          <w:iCs/>
          <w:color w:val="333333"/>
          <w:shd w:val="clear" w:color="auto" w:fill="FFFFFF"/>
        </w:rPr>
        <w:t>Dle zákona o ovzduší č. 201/2012 Sb. § 17, odstavec h - budou od roku 2016 muset všichni, kdo topí tuhými palivy, absolvovat každé dva roky povinné kontroly kotlů,</w:t>
      </w:r>
      <w:r>
        <w:rPr>
          <w:rFonts w:ascii="Arial CE" w:hAnsi="Arial CE" w:cs="Arial CE"/>
          <w:color w:val="222222"/>
        </w:rPr>
        <w:t xml:space="preserve"> </w:t>
      </w:r>
      <w:r>
        <w:rPr>
          <w:rFonts w:ascii="Georgia" w:hAnsi="Georgia" w:cs="Arial CE"/>
          <w:i/>
          <w:color w:val="222222"/>
        </w:rPr>
        <w:t xml:space="preserve">přičemž </w:t>
      </w:r>
      <w:r>
        <w:rPr>
          <w:rFonts w:ascii="Georgia" w:hAnsi="Georgia" w:cs="Arial CE"/>
          <w:i/>
          <w:color w:val="222222"/>
        </w:rPr>
        <w:br/>
      </w:r>
      <w:r>
        <w:rPr>
          <w:rFonts w:ascii="Arial CE" w:hAnsi="Arial CE" w:cs="Arial CE"/>
          <w:b/>
          <w:color w:val="FF0000"/>
          <w:sz w:val="28"/>
          <w:szCs w:val="28"/>
        </w:rPr>
        <w:t>první kontrola musí být provedena</w:t>
      </w:r>
      <w:r>
        <w:rPr>
          <w:rStyle w:val="apple-converted-space"/>
          <w:rFonts w:ascii="Arial CE" w:hAnsi="Arial CE" w:cs="Arial CE"/>
          <w:color w:val="FF0000"/>
          <w:sz w:val="28"/>
          <w:szCs w:val="28"/>
        </w:rPr>
        <w:t> </w:t>
      </w:r>
      <w:r>
        <w:rPr>
          <w:rStyle w:val="Siln"/>
          <w:rFonts w:ascii="Arial CE" w:hAnsi="Arial CE" w:cs="Arial CE"/>
          <w:color w:val="FF0000"/>
          <w:sz w:val="28"/>
          <w:szCs w:val="28"/>
        </w:rPr>
        <w:t>nejpozději do 31. prosince 2016</w:t>
      </w:r>
      <w:r>
        <w:rPr>
          <w:rFonts w:ascii="Arial CE" w:hAnsi="Arial CE" w:cs="Arial CE"/>
          <w:color w:val="FF0000"/>
          <w:sz w:val="22"/>
          <w:szCs w:val="22"/>
        </w:rPr>
        <w:t>,</w:t>
      </w:r>
    </w:p>
    <w:p w:rsidR="009D6C51" w:rsidRDefault="009D6C51" w:rsidP="009D6C5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</w:p>
    <w:p w:rsidR="009D6C51" w:rsidRDefault="009D6C51" w:rsidP="009D6C5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StempelGaramondLTPro-Bold" w:hAnsi="StempelGaramondLTPro-Bold" w:cs="StempelGaramondLTPro-Bold"/>
          <w:bCs/>
          <w:i/>
          <w:sz w:val="24"/>
          <w:szCs w:val="24"/>
        </w:rPr>
        <w:t>Znění zákona</w:t>
      </w:r>
      <w:r>
        <w:rPr>
          <w:rFonts w:ascii="StempelGaramondLTPro-Bold" w:hAnsi="StempelGaramondLTPro-Bold" w:cs="StempelGaramondLTPro-Bold"/>
          <w:bCs/>
          <w:sz w:val="24"/>
          <w:szCs w:val="24"/>
        </w:rPr>
        <w:t xml:space="preserve"> </w:t>
      </w:r>
      <w:r>
        <w:rPr>
          <w:rFonts w:ascii="Georgia" w:hAnsi="Georgia"/>
          <w:i/>
          <w:iCs/>
          <w:color w:val="333333"/>
          <w:sz w:val="24"/>
          <w:szCs w:val="24"/>
          <w:shd w:val="clear" w:color="auto" w:fill="FFFFFF"/>
        </w:rPr>
        <w:t>č. 201/2012 Sb. § 17, odstavec h - výtah</w:t>
      </w:r>
    </w:p>
    <w:p w:rsidR="009D6C51" w:rsidRDefault="009D6C51" w:rsidP="009D6C51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Cs/>
          <w:sz w:val="8"/>
          <w:szCs w:val="8"/>
        </w:rPr>
      </w:pPr>
    </w:p>
    <w:p w:rsidR="009D6C51" w:rsidRDefault="009D6C51" w:rsidP="009D6C5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4"/>
          <w:szCs w:val="24"/>
        </w:rPr>
      </w:pPr>
      <w:r>
        <w:rPr>
          <w:rFonts w:ascii="StempelGaramondLTPro-Bold" w:hAnsi="StempelGaramondLTPro-Bold" w:cs="StempelGaramondLTPro-Bold"/>
          <w:b/>
          <w:bCs/>
          <w:sz w:val="24"/>
          <w:szCs w:val="24"/>
        </w:rPr>
        <w:t>Povinnosti provozovatele stacionárního zdroje</w:t>
      </w:r>
    </w:p>
    <w:p w:rsidR="009D6C51" w:rsidRDefault="009D6C51" w:rsidP="009D6C51">
      <w:pPr>
        <w:autoSpaceDE w:val="0"/>
        <w:autoSpaceDN w:val="0"/>
        <w:adjustRightInd w:val="0"/>
        <w:spacing w:after="0" w:line="240" w:lineRule="auto"/>
        <w:jc w:val="both"/>
        <w:rPr>
          <w:rFonts w:ascii="StempelGaramondLTPro-Roman" w:hAnsi="StempelGaramondLTPro-Roman" w:cs="StempelGaramondLTPro-Roman"/>
          <w:sz w:val="24"/>
          <w:szCs w:val="24"/>
        </w:rPr>
      </w:pPr>
      <w:r>
        <w:rPr>
          <w:rFonts w:ascii="StempelGaramondLTPro-Roman" w:hAnsi="StempelGaramondLTPro-Roman" w:cs="StempelGaramondLTPro-Roman"/>
          <w:sz w:val="24"/>
          <w:szCs w:val="24"/>
        </w:rPr>
        <w:t>provád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>t jednou za dva kalendá</w:t>
      </w:r>
      <w:r>
        <w:rPr>
          <w:rFonts w:ascii="StempelGaramondLTPro-Roman+01" w:hAnsi="StempelGaramondLTPro-Roman+01" w:cs="StempelGaramondLTPro-Roman+01"/>
          <w:sz w:val="24"/>
          <w:szCs w:val="24"/>
        </w:rPr>
        <w:t>ř</w:t>
      </w:r>
      <w:r>
        <w:rPr>
          <w:rFonts w:ascii="StempelGaramondLTPro-Roman" w:hAnsi="StempelGaramondLTPro-Roman" w:cs="StempelGaramondLTPro-Roman"/>
          <w:sz w:val="24"/>
          <w:szCs w:val="24"/>
        </w:rPr>
        <w:t>ní roky prost</w:t>
      </w:r>
      <w:r>
        <w:rPr>
          <w:rFonts w:ascii="StempelGaramondLTPro-Roman+01" w:hAnsi="StempelGaramondLTPro-Roman+01" w:cs="StempelGaramondLTPro-Roman+01"/>
          <w:sz w:val="24"/>
          <w:szCs w:val="24"/>
        </w:rPr>
        <w:t>ř</w:t>
      </w:r>
      <w:r>
        <w:rPr>
          <w:rFonts w:ascii="StempelGaramondLTPro-Roman" w:hAnsi="StempelGaramondLTPro-Roman" w:cs="StempelGaramondLTPro-Roman"/>
          <w:sz w:val="24"/>
          <w:szCs w:val="24"/>
        </w:rPr>
        <w:t>ednictvím osoby, která byla pro</w:t>
      </w:r>
      <w:r>
        <w:rPr>
          <w:rFonts w:ascii="StempelGaramondLTPro-Roman+01" w:hAnsi="StempelGaramondLTPro-Roman+01" w:cs="StempelGaramondLTPro-Roman+01"/>
          <w:sz w:val="24"/>
          <w:szCs w:val="24"/>
        </w:rPr>
        <w:t>š</w:t>
      </w:r>
      <w:r>
        <w:rPr>
          <w:rFonts w:ascii="StempelGaramondLTPro-Roman" w:hAnsi="StempelGaramondLTPro-Roman" w:cs="StempelGaramondLTPro-Roman"/>
          <w:sz w:val="24"/>
          <w:szCs w:val="24"/>
        </w:rPr>
        <w:t>kolena výrobcem spalovacího stacionárního zdroje a má od n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>j ud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>lené oprávn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>ní k jeho instalaci, provozu a údr</w:t>
      </w:r>
      <w:r>
        <w:rPr>
          <w:rFonts w:ascii="StempelGaramondLTPro-Roman+01" w:hAnsi="StempelGaramondLTPro-Roman+01" w:cs="StempelGaramondLTPro-Roman+01"/>
          <w:sz w:val="24"/>
          <w:szCs w:val="24"/>
        </w:rPr>
        <w:t>ž</w:t>
      </w:r>
      <w:r>
        <w:rPr>
          <w:rFonts w:ascii="StempelGaramondLTPro-Roman" w:hAnsi="StempelGaramondLTPro-Roman" w:cs="StempelGaramondLTPro-Roman"/>
          <w:sz w:val="24"/>
          <w:szCs w:val="24"/>
        </w:rPr>
        <w:t>b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 xml:space="preserve"> (dále jen </w:t>
      </w:r>
      <w:r>
        <w:rPr>
          <w:rFonts w:ascii="StempelGaramondLTPro-Roman+20" w:hAnsi="StempelGaramondLTPro-Roman+20" w:cs="StempelGaramondLTPro-Roman+20"/>
          <w:sz w:val="24"/>
          <w:szCs w:val="24"/>
        </w:rPr>
        <w:t>„</w:t>
      </w:r>
      <w:r>
        <w:rPr>
          <w:rFonts w:ascii="StempelGaramondLTPro-Roman" w:hAnsi="StempelGaramondLTPro-Roman" w:cs="StempelGaramondLTPro-Roman"/>
          <w:sz w:val="24"/>
          <w:szCs w:val="24"/>
        </w:rPr>
        <w:t>odborn</w:t>
      </w:r>
      <w:r>
        <w:rPr>
          <w:rFonts w:ascii="StempelGaramondLTPro-Roman+01" w:hAnsi="StempelGaramondLTPro-Roman+01" w:cs="StempelGaramondLTPro-Roman+01"/>
          <w:sz w:val="24"/>
          <w:szCs w:val="24"/>
        </w:rPr>
        <w:t xml:space="preserve">ě </w:t>
      </w:r>
      <w:r>
        <w:rPr>
          <w:rFonts w:ascii="StempelGaramondLTPro-Roman" w:hAnsi="StempelGaramondLTPro-Roman" w:cs="StempelGaramondLTPro-Roman"/>
          <w:sz w:val="24"/>
          <w:szCs w:val="24"/>
        </w:rPr>
        <w:t>zp</w:t>
      </w:r>
      <w:r>
        <w:rPr>
          <w:rFonts w:ascii="StempelGaramondLTPro-Roman+01" w:hAnsi="StempelGaramondLTPro-Roman+01" w:cs="StempelGaramondLTPro-Roman+01"/>
          <w:sz w:val="24"/>
          <w:szCs w:val="24"/>
        </w:rPr>
        <w:t>ů</w:t>
      </w:r>
      <w:r>
        <w:rPr>
          <w:rFonts w:ascii="StempelGaramondLTPro-Roman" w:hAnsi="StempelGaramondLTPro-Roman" w:cs="StempelGaramondLTPro-Roman"/>
          <w:sz w:val="24"/>
          <w:szCs w:val="24"/>
        </w:rPr>
        <w:t>sobilá osoba</w:t>
      </w:r>
      <w:r>
        <w:rPr>
          <w:rFonts w:ascii="StempelGaramondLTPro-Roman+20" w:hAnsi="StempelGaramondLTPro-Roman+20" w:cs="StempelGaramondLTPro-Roman+20"/>
          <w:sz w:val="24"/>
          <w:szCs w:val="24"/>
        </w:rPr>
        <w:t>“</w:t>
      </w:r>
      <w:r>
        <w:rPr>
          <w:rFonts w:ascii="StempelGaramondLTPro-Roman" w:hAnsi="StempelGaramondLTPro-Roman" w:cs="StempelGaramondLTPro-Roman"/>
          <w:sz w:val="24"/>
          <w:szCs w:val="24"/>
        </w:rPr>
        <w:t>), kontrolu technického stavu a provozu spalovacího stacionárního</w:t>
      </w:r>
    </w:p>
    <w:p w:rsidR="009D6C51" w:rsidRDefault="009D6C51" w:rsidP="009D6C51">
      <w:pPr>
        <w:autoSpaceDE w:val="0"/>
        <w:autoSpaceDN w:val="0"/>
        <w:adjustRightInd w:val="0"/>
        <w:spacing w:after="0" w:line="240" w:lineRule="auto"/>
        <w:jc w:val="both"/>
        <w:rPr>
          <w:rFonts w:ascii="StempelGaramondLTPro-Roman" w:hAnsi="StempelGaramondLTPro-Roman" w:cs="StempelGaramondLTPro-Roman"/>
          <w:sz w:val="24"/>
          <w:szCs w:val="24"/>
        </w:rPr>
      </w:pPr>
      <w:r>
        <w:rPr>
          <w:rFonts w:ascii="StempelGaramondLTPro-Roman" w:hAnsi="StempelGaramondLTPro-Roman" w:cs="StempelGaramondLTPro-Roman"/>
          <w:sz w:val="24"/>
          <w:szCs w:val="24"/>
        </w:rPr>
        <w:t>zdroje na pevná paliva o jmenovitém tepelném p</w:t>
      </w:r>
      <w:r>
        <w:rPr>
          <w:rFonts w:ascii="StempelGaramondLTPro-Roman+01" w:hAnsi="StempelGaramondLTPro-Roman+01" w:cs="StempelGaramondLTPro-Roman+01"/>
          <w:sz w:val="24"/>
          <w:szCs w:val="24"/>
        </w:rPr>
        <w:t>ř</w:t>
      </w:r>
      <w:r>
        <w:rPr>
          <w:rFonts w:ascii="StempelGaramondLTPro-Roman" w:hAnsi="StempelGaramondLTPro-Roman" w:cs="StempelGaramondLTPro-Roman"/>
          <w:sz w:val="24"/>
          <w:szCs w:val="24"/>
        </w:rPr>
        <w:t>íkonu od 10 do 300 kW v</w:t>
      </w:r>
      <w:r>
        <w:rPr>
          <w:rFonts w:ascii="StempelGaramondLTPro-Roman+01" w:hAnsi="StempelGaramondLTPro-Roman+01" w:cs="StempelGaramondLTPro-Roman+01"/>
          <w:sz w:val="24"/>
          <w:szCs w:val="24"/>
        </w:rPr>
        <w:t>č</w:t>
      </w:r>
      <w:r>
        <w:rPr>
          <w:rFonts w:ascii="StempelGaramondLTPro-Roman" w:hAnsi="StempelGaramondLTPro-Roman" w:cs="StempelGaramondLTPro-Roman"/>
          <w:sz w:val="24"/>
          <w:szCs w:val="24"/>
        </w:rPr>
        <w:t>etn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>, který slou</w:t>
      </w:r>
      <w:r>
        <w:rPr>
          <w:rFonts w:ascii="StempelGaramondLTPro-Roman+01" w:hAnsi="StempelGaramondLTPro-Roman+01" w:cs="StempelGaramondLTPro-Roman+01"/>
          <w:sz w:val="24"/>
          <w:szCs w:val="24"/>
        </w:rPr>
        <w:t>ž</w:t>
      </w:r>
      <w:r>
        <w:rPr>
          <w:rFonts w:ascii="StempelGaramondLTPro-Roman" w:hAnsi="StempelGaramondLTPro-Roman" w:cs="StempelGaramondLTPro-Roman"/>
          <w:sz w:val="24"/>
          <w:szCs w:val="24"/>
        </w:rPr>
        <w:t>í jako zdroj tepla pro teplovodní soustavu úst</w:t>
      </w:r>
      <w:r>
        <w:rPr>
          <w:rFonts w:ascii="StempelGaramondLTPro-Roman+01" w:hAnsi="StempelGaramondLTPro-Roman+01" w:cs="StempelGaramondLTPro-Roman+01"/>
          <w:sz w:val="24"/>
          <w:szCs w:val="24"/>
        </w:rPr>
        <w:t>ř</w:t>
      </w:r>
      <w:r>
        <w:rPr>
          <w:rFonts w:ascii="StempelGaramondLTPro-Roman" w:hAnsi="StempelGaramondLTPro-Roman" w:cs="StempelGaramondLTPro-Roman"/>
          <w:sz w:val="24"/>
          <w:szCs w:val="24"/>
        </w:rPr>
        <w:t>edního vytáp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>ní, a p</w:t>
      </w:r>
      <w:r>
        <w:rPr>
          <w:rFonts w:ascii="StempelGaramondLTPro-Roman+01" w:hAnsi="StempelGaramondLTPro-Roman+01" w:cs="StempelGaramondLTPro-Roman+01"/>
          <w:sz w:val="24"/>
          <w:szCs w:val="24"/>
        </w:rPr>
        <w:t>ř</w:t>
      </w:r>
      <w:r>
        <w:rPr>
          <w:rFonts w:ascii="StempelGaramondLTPro-Roman" w:hAnsi="StempelGaramondLTPro-Roman" w:cs="StempelGaramondLTPro-Roman"/>
          <w:sz w:val="24"/>
          <w:szCs w:val="24"/>
        </w:rPr>
        <w:t>edkládat na vy</w:t>
      </w:r>
      <w:r>
        <w:rPr>
          <w:rFonts w:ascii="StempelGaramondLTPro-Roman+01" w:hAnsi="StempelGaramondLTPro-Roman+01" w:cs="StempelGaramondLTPro-Roman+01"/>
          <w:sz w:val="24"/>
          <w:szCs w:val="24"/>
        </w:rPr>
        <w:t>ž</w:t>
      </w:r>
      <w:r>
        <w:rPr>
          <w:rFonts w:ascii="StempelGaramondLTPro-Roman" w:hAnsi="StempelGaramondLTPro-Roman" w:cs="StempelGaramondLTPro-Roman"/>
          <w:sz w:val="24"/>
          <w:szCs w:val="24"/>
        </w:rPr>
        <w:t>ádání obecnímu ú</w:t>
      </w:r>
      <w:r>
        <w:rPr>
          <w:rFonts w:ascii="StempelGaramondLTPro-Roman+01" w:hAnsi="StempelGaramondLTPro-Roman+01" w:cs="StempelGaramondLTPro-Roman+01"/>
          <w:sz w:val="24"/>
          <w:szCs w:val="24"/>
        </w:rPr>
        <w:t>ř</w:t>
      </w:r>
      <w:r>
        <w:rPr>
          <w:rFonts w:ascii="StempelGaramondLTPro-Roman" w:hAnsi="StempelGaramondLTPro-Roman" w:cs="StempelGaramondLTPro-Roman"/>
          <w:sz w:val="24"/>
          <w:szCs w:val="24"/>
        </w:rPr>
        <w:t>adu obce s roz</w:t>
      </w:r>
      <w:r>
        <w:rPr>
          <w:rFonts w:ascii="StempelGaramondLTPro-Roman+01" w:hAnsi="StempelGaramondLTPro-Roman+01" w:cs="StempelGaramondLTPro-Roman+01"/>
          <w:sz w:val="24"/>
          <w:szCs w:val="24"/>
        </w:rPr>
        <w:t>š</w:t>
      </w:r>
      <w:r>
        <w:rPr>
          <w:rFonts w:ascii="StempelGaramondLTPro-Roman" w:hAnsi="StempelGaramondLTPro-Roman" w:cs="StempelGaramondLTPro-Roman"/>
          <w:sz w:val="24"/>
          <w:szCs w:val="24"/>
        </w:rPr>
        <w:t>í</w:t>
      </w:r>
      <w:r>
        <w:rPr>
          <w:rFonts w:ascii="StempelGaramondLTPro-Roman+01" w:hAnsi="StempelGaramondLTPro-Roman+01" w:cs="StempelGaramondLTPro-Roman+01"/>
          <w:sz w:val="24"/>
          <w:szCs w:val="24"/>
        </w:rPr>
        <w:t>ř</w:t>
      </w:r>
      <w:r>
        <w:rPr>
          <w:rFonts w:ascii="StempelGaramondLTPro-Roman" w:hAnsi="StempelGaramondLTPro-Roman" w:cs="StempelGaramondLTPro-Roman"/>
          <w:sz w:val="24"/>
          <w:szCs w:val="24"/>
        </w:rPr>
        <w:t>enou p</w:t>
      </w:r>
      <w:r>
        <w:rPr>
          <w:rFonts w:ascii="StempelGaramondLTPro-Roman+01" w:hAnsi="StempelGaramondLTPro-Roman+01" w:cs="StempelGaramondLTPro-Roman+01"/>
          <w:sz w:val="24"/>
          <w:szCs w:val="24"/>
        </w:rPr>
        <w:t>ů</w:t>
      </w:r>
      <w:r>
        <w:rPr>
          <w:rFonts w:ascii="StempelGaramondLTPro-Roman" w:hAnsi="StempelGaramondLTPro-Roman" w:cs="StempelGaramondLTPro-Roman"/>
          <w:sz w:val="24"/>
          <w:szCs w:val="24"/>
        </w:rPr>
        <w:t>sobností doklad o provedení této kontroly vystavený odborn</w:t>
      </w:r>
      <w:r>
        <w:rPr>
          <w:rFonts w:ascii="StempelGaramondLTPro-Roman+01" w:hAnsi="StempelGaramondLTPro-Roman+01" w:cs="StempelGaramondLTPro-Roman+01"/>
          <w:sz w:val="24"/>
          <w:szCs w:val="24"/>
        </w:rPr>
        <w:t>ě</w:t>
      </w:r>
      <w:r>
        <w:rPr>
          <w:rFonts w:ascii="StempelGaramondLTPro-Roman" w:hAnsi="StempelGaramondLTPro-Roman" w:cs="StempelGaramondLTPro-Roman"/>
          <w:sz w:val="24"/>
          <w:szCs w:val="24"/>
        </w:rPr>
        <w:t xml:space="preserve"> zp</w:t>
      </w:r>
      <w:r>
        <w:rPr>
          <w:rFonts w:ascii="StempelGaramondLTPro-Roman+01" w:hAnsi="StempelGaramondLTPro-Roman+01" w:cs="StempelGaramondLTPro-Roman+01"/>
          <w:sz w:val="24"/>
          <w:szCs w:val="24"/>
        </w:rPr>
        <w:t>ů</w:t>
      </w:r>
      <w:r>
        <w:rPr>
          <w:rFonts w:ascii="StempelGaramondLTPro-Roman" w:hAnsi="StempelGaramondLTPro-Roman" w:cs="StempelGaramondLTPro-Roman"/>
          <w:sz w:val="24"/>
          <w:szCs w:val="24"/>
        </w:rPr>
        <w:t xml:space="preserve">sobilou osobou potvrzující, </w:t>
      </w:r>
      <w:r>
        <w:rPr>
          <w:rFonts w:ascii="StempelGaramondLTPro-Roman+01" w:hAnsi="StempelGaramondLTPro-Roman+01" w:cs="StempelGaramondLTPro-Roman+01"/>
          <w:sz w:val="24"/>
          <w:szCs w:val="24"/>
        </w:rPr>
        <w:t>ž</w:t>
      </w:r>
      <w:r>
        <w:rPr>
          <w:rFonts w:ascii="StempelGaramondLTPro-Roman" w:hAnsi="StempelGaramondLTPro-Roman" w:cs="StempelGaramondLTPro-Roman"/>
          <w:sz w:val="24"/>
          <w:szCs w:val="24"/>
        </w:rPr>
        <w:t>e stacionární zdroj je instalován, provozován a udr</w:t>
      </w:r>
      <w:r>
        <w:rPr>
          <w:rFonts w:ascii="StempelGaramondLTPro-Roman+01" w:hAnsi="StempelGaramondLTPro-Roman+01" w:cs="StempelGaramondLTPro-Roman+01"/>
          <w:sz w:val="24"/>
          <w:szCs w:val="24"/>
        </w:rPr>
        <w:t>ž</w:t>
      </w:r>
      <w:r>
        <w:rPr>
          <w:rFonts w:ascii="StempelGaramondLTPro-Roman" w:hAnsi="StempelGaramondLTPro-Roman" w:cs="StempelGaramondLTPro-Roman"/>
          <w:sz w:val="24"/>
          <w:szCs w:val="24"/>
        </w:rPr>
        <w:t>ován v souladu s pokyny výrobce a tímto zákonem.</w:t>
      </w:r>
    </w:p>
    <w:p w:rsidR="009D6C51" w:rsidRDefault="009D6C51" w:rsidP="009D6C51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 CE" w:hAnsi="Arial CE" w:cs="Arial CE"/>
          <w:color w:val="222222"/>
          <w:sz w:val="18"/>
          <w:szCs w:val="18"/>
        </w:rPr>
      </w:pPr>
    </w:p>
    <w:p w:rsidR="009D6C51" w:rsidRDefault="009D6C51" w:rsidP="009D6C51">
      <w:pPr>
        <w:pStyle w:val="Normlnweb"/>
        <w:shd w:val="clear" w:color="auto" w:fill="FFFFFF"/>
        <w:spacing w:line="270" w:lineRule="atLeast"/>
        <w:rPr>
          <w:rFonts w:ascii="Arial CE" w:hAnsi="Arial CE" w:cs="Arial CE"/>
          <w:b/>
          <w:bCs/>
          <w:color w:val="222222"/>
          <w:sz w:val="28"/>
          <w:szCs w:val="28"/>
        </w:rPr>
      </w:pPr>
      <w:r>
        <w:rPr>
          <w:rFonts w:ascii="Arial CE" w:hAnsi="Arial CE" w:cs="Arial CE"/>
          <w:b/>
          <w:bCs/>
          <w:color w:val="222222"/>
          <w:sz w:val="28"/>
          <w:szCs w:val="28"/>
        </w:rPr>
        <w:t>Přehled termínů a změn v provozu kotlů na tuhá paliva</w:t>
      </w:r>
    </w:p>
    <w:p w:rsidR="009D6C51" w:rsidRDefault="009D6C51" w:rsidP="009D6C51">
      <w:pPr>
        <w:pStyle w:val="Normlnweb"/>
        <w:shd w:val="clear" w:color="auto" w:fill="FFFFFF"/>
        <w:spacing w:line="270" w:lineRule="atLeast"/>
        <w:rPr>
          <w:rFonts w:ascii="Arial CE" w:hAnsi="Arial CE" w:cs="Arial CE"/>
          <w:color w:val="222222"/>
        </w:rPr>
      </w:pPr>
      <w:r>
        <w:rPr>
          <w:rFonts w:ascii="Arial CE" w:hAnsi="Arial CE" w:cs="Arial CE"/>
          <w:b/>
          <w:bCs/>
          <w:color w:val="222222"/>
        </w:rPr>
        <w:t>Září 2012 </w:t>
      </w:r>
      <w:r>
        <w:rPr>
          <w:rFonts w:ascii="Arial CE" w:hAnsi="Arial CE" w:cs="Arial CE"/>
          <w:color w:val="222222"/>
        </w:rPr>
        <w:t>– Začíná platit nový zákon o ochraně ovzduší</w:t>
      </w:r>
      <w:r>
        <w:rPr>
          <w:rFonts w:ascii="Arial CE" w:hAnsi="Arial CE" w:cs="Arial CE"/>
          <w:color w:val="222222"/>
        </w:rPr>
        <w:br/>
      </w:r>
      <w:r>
        <w:rPr>
          <w:rFonts w:ascii="Arial CE" w:hAnsi="Arial CE" w:cs="Arial CE"/>
          <w:b/>
          <w:bCs/>
          <w:color w:val="222222"/>
        </w:rPr>
        <w:t>Leden 2014</w:t>
      </w:r>
      <w:r>
        <w:rPr>
          <w:rFonts w:ascii="Arial CE" w:hAnsi="Arial CE" w:cs="Arial CE"/>
          <w:color w:val="222222"/>
        </w:rPr>
        <w:t xml:space="preserve"> – Končí prodej kotlů na tuhá paliva 1. a 2. emisní třídy. </w:t>
      </w:r>
      <w:r>
        <w:rPr>
          <w:rFonts w:ascii="Arial CE" w:hAnsi="Arial CE" w:cs="Arial CE"/>
          <w:color w:val="222222"/>
        </w:rPr>
        <w:br/>
      </w:r>
      <w:r>
        <w:rPr>
          <w:rFonts w:ascii="Arial CE" w:hAnsi="Arial CE" w:cs="Arial CE"/>
          <w:b/>
          <w:bCs/>
          <w:color w:val="222222"/>
        </w:rPr>
        <w:t>Prosinec 2016</w:t>
      </w:r>
      <w:r>
        <w:rPr>
          <w:rFonts w:ascii="Arial CE" w:hAnsi="Arial CE" w:cs="Arial CE"/>
          <w:color w:val="222222"/>
        </w:rPr>
        <w:t> – Všechny kotle musí projít autorizovanou revizí, kontrolou.</w:t>
      </w:r>
      <w:r>
        <w:rPr>
          <w:rFonts w:ascii="Arial CE" w:hAnsi="Arial CE" w:cs="Arial CE"/>
          <w:color w:val="222222"/>
        </w:rPr>
        <w:br/>
      </w:r>
      <w:r>
        <w:rPr>
          <w:rFonts w:ascii="Arial CE" w:hAnsi="Arial CE" w:cs="Arial CE"/>
          <w:b/>
          <w:bCs/>
          <w:color w:val="222222"/>
        </w:rPr>
        <w:t>Leden 2017</w:t>
      </w:r>
      <w:r>
        <w:rPr>
          <w:rFonts w:ascii="Arial CE" w:hAnsi="Arial CE" w:cs="Arial CE"/>
          <w:color w:val="222222"/>
        </w:rPr>
        <w:t> – Počínaje tímto datem jsou majitelé povinni na vyžádání obecního úřadu předložit doklad o revizi kotle na tuhá paliva. Kdo revizi nepředloží, hrozí mu pokuta až 20.000,- korun. Revizi je povinné provést jednou za dva roky.</w:t>
      </w:r>
      <w:r>
        <w:rPr>
          <w:rFonts w:ascii="Arial CE" w:hAnsi="Arial CE" w:cs="Arial CE"/>
          <w:color w:val="222222"/>
        </w:rPr>
        <w:br/>
      </w:r>
      <w:r>
        <w:rPr>
          <w:rFonts w:ascii="Arial CE" w:hAnsi="Arial CE" w:cs="Arial CE"/>
          <w:b/>
          <w:bCs/>
          <w:color w:val="222222"/>
        </w:rPr>
        <w:t>Leden 2018</w:t>
      </w:r>
      <w:r>
        <w:rPr>
          <w:rFonts w:ascii="Arial CE" w:hAnsi="Arial CE" w:cs="Arial CE"/>
          <w:color w:val="222222"/>
        </w:rPr>
        <w:t> – Ukončení prodeje (</w:t>
      </w:r>
      <w:r>
        <w:rPr>
          <w:rFonts w:ascii="Arial CE" w:hAnsi="Arial CE" w:cs="Arial CE"/>
          <w:b/>
          <w:bCs/>
          <w:color w:val="222222"/>
        </w:rPr>
        <w:t>nikoliv provozování</w:t>
      </w:r>
      <w:r>
        <w:rPr>
          <w:rFonts w:ascii="Arial CE" w:hAnsi="Arial CE" w:cs="Arial CE"/>
          <w:color w:val="222222"/>
        </w:rPr>
        <w:t>) kotlů na tuhá paliva 3. emisní třídy. Budou se smět prodávat již jen kotle s emisní třídou 4 a výše. </w:t>
      </w:r>
      <w:r>
        <w:rPr>
          <w:rFonts w:ascii="Arial CE" w:hAnsi="Arial CE" w:cs="Arial CE"/>
          <w:b/>
          <w:bCs/>
          <w:color w:val="222222"/>
        </w:rPr>
        <w:t>V kotlích 3. emisní třídy je povoleno topit i po roce 2022.</w:t>
      </w:r>
      <w:r>
        <w:rPr>
          <w:rFonts w:ascii="Arial CE" w:hAnsi="Arial CE" w:cs="Arial CE"/>
          <w:color w:val="222222"/>
        </w:rPr>
        <w:br/>
      </w:r>
      <w:r>
        <w:rPr>
          <w:rFonts w:ascii="Arial CE" w:hAnsi="Arial CE" w:cs="Arial CE"/>
          <w:b/>
          <w:bCs/>
          <w:color w:val="222222"/>
        </w:rPr>
        <w:t>Září 2022</w:t>
      </w:r>
      <w:r>
        <w:rPr>
          <w:rFonts w:ascii="Arial CE" w:hAnsi="Arial CE" w:cs="Arial CE"/>
          <w:color w:val="222222"/>
        </w:rPr>
        <w:t xml:space="preserve"> – Začne platit </w:t>
      </w:r>
      <w:r>
        <w:rPr>
          <w:rFonts w:ascii="Arial CE" w:hAnsi="Arial CE" w:cs="Arial CE"/>
          <w:b/>
          <w:color w:val="222222"/>
        </w:rPr>
        <w:t>zákaz topení v kotlích 1. a 2. třídy</w:t>
      </w:r>
      <w:r>
        <w:rPr>
          <w:rFonts w:ascii="Arial CE" w:hAnsi="Arial CE" w:cs="Arial CE"/>
          <w:color w:val="222222"/>
        </w:rPr>
        <w:t>. Bude se moci topit jen v kotlích 3. emisní třídy a vyšší. Kdo bude po 1. 9. 2022 topit v nevyhovujícím kotli, může dostat pokutu až 50.000,- korun. Stejně tak bude hrozit pokuta 50.000,- korun za topení nevyhovujícími palivy (odpadky, kaly atd.).</w:t>
      </w:r>
    </w:p>
    <w:p w:rsidR="009D6C51" w:rsidRDefault="009D6C51" w:rsidP="009D6C51">
      <w:pPr>
        <w:pStyle w:val="Normlnweb"/>
        <w:shd w:val="clear" w:color="auto" w:fill="FFFFFF"/>
        <w:spacing w:line="270" w:lineRule="atLeast"/>
        <w:jc w:val="center"/>
        <w:rPr>
          <w:rFonts w:ascii="Arial CE" w:hAnsi="Arial CE" w:cs="Arial CE"/>
          <w:color w:val="FF0000"/>
          <w:sz w:val="28"/>
          <w:szCs w:val="28"/>
          <w:u w:val="single"/>
        </w:rPr>
      </w:pPr>
    </w:p>
    <w:p w:rsidR="009D6C51" w:rsidRDefault="009D6C51" w:rsidP="009D6C51">
      <w:pPr>
        <w:pStyle w:val="Normlnweb"/>
        <w:shd w:val="clear" w:color="auto" w:fill="FFFFFF"/>
        <w:spacing w:line="270" w:lineRule="atLeast"/>
        <w:jc w:val="center"/>
        <w:rPr>
          <w:rFonts w:ascii="Arial CE" w:hAnsi="Arial CE" w:cs="Arial CE"/>
          <w:color w:val="FF0000"/>
          <w:sz w:val="28"/>
          <w:szCs w:val="28"/>
          <w:u w:val="single"/>
        </w:rPr>
      </w:pPr>
      <w:r>
        <w:rPr>
          <w:rFonts w:ascii="Arial CE" w:hAnsi="Arial CE" w:cs="Arial CE"/>
          <w:color w:val="FF0000"/>
          <w:sz w:val="28"/>
          <w:szCs w:val="28"/>
          <w:u w:val="single"/>
        </w:rPr>
        <w:t>V čem kontrola - revize kotle spočívá.</w:t>
      </w:r>
    </w:p>
    <w:p w:rsidR="009D6C51" w:rsidRDefault="009D6C51" w:rsidP="009D6C51">
      <w:pPr>
        <w:pStyle w:val="Normlnweb"/>
        <w:shd w:val="clear" w:color="auto" w:fill="FFFFFF"/>
        <w:spacing w:line="27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Předmětem kontroly jsou veškeré kotle na tuhá paliva.</w:t>
      </w:r>
      <w:r>
        <w:rPr>
          <w:rFonts w:ascii="Arial CE" w:hAnsi="Arial CE" w:cs="Arial CE"/>
        </w:rPr>
        <w:br/>
        <w:t>Jde v podstatě o obdobnou kontrolu, jaká se pravidelně provádí u plynových kotlů. Kontroluje se typ kotle, přívod spalovacího vzduchu, palivové hospodářství, odvod spalin, řídící, regulační, zabezpečovací prvky.</w:t>
      </w:r>
      <w:r>
        <w:rPr>
          <w:rFonts w:ascii="Arial CE" w:hAnsi="Arial CE" w:cs="Arial CE"/>
        </w:rPr>
        <w:br/>
        <w:t xml:space="preserve">Rovněž se případně provádí seřízení kotle a sjednává se oprava vadných dílů, nebo </w:t>
      </w:r>
      <w:r>
        <w:rPr>
          <w:rFonts w:ascii="Arial CE" w:hAnsi="Arial CE" w:cs="Arial CE"/>
        </w:rPr>
        <w:lastRenderedPageBreak/>
        <w:t xml:space="preserve">oprava zabezpečovacích prvků, tak aby byl zaručen správný a bezpečný provoz kotle.   </w:t>
      </w:r>
    </w:p>
    <w:p w:rsidR="009D6C51" w:rsidRDefault="009D6C51" w:rsidP="009D6C51">
      <w:pPr>
        <w:pStyle w:val="Normlnweb"/>
        <w:shd w:val="clear" w:color="auto" w:fill="FFFFFF"/>
        <w:spacing w:before="0" w:beforeAutospacing="0" w:after="240" w:afterAutospacing="0" w:line="270" w:lineRule="atLeast"/>
        <w:rPr>
          <w:rFonts w:ascii="Arial CE" w:hAnsi="Arial CE" w:cs="Arial CE"/>
          <w:color w:val="222222"/>
          <w:sz w:val="18"/>
          <w:szCs w:val="18"/>
        </w:rPr>
      </w:pPr>
    </w:p>
    <w:p w:rsidR="009D6C51" w:rsidRDefault="009D6C51" w:rsidP="009D6C51">
      <w:pPr>
        <w:rPr>
          <w:b/>
          <w:sz w:val="36"/>
          <w:szCs w:val="36"/>
        </w:rPr>
      </w:pPr>
    </w:p>
    <w:p w:rsidR="003E4F78" w:rsidRDefault="003E4F78">
      <w:bookmarkStart w:id="0" w:name="_GoBack"/>
      <w:bookmarkEnd w:id="0"/>
    </w:p>
    <w:sectPr w:rsidR="003E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2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1"/>
    <w:rsid w:val="003E4F78"/>
    <w:rsid w:val="009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A1E5-BFFC-4F71-8FC6-CF2C0013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C5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D6C51"/>
  </w:style>
  <w:style w:type="character" w:styleId="Siln">
    <w:name w:val="Strong"/>
    <w:basedOn w:val="Standardnpsmoodstavce"/>
    <w:uiPriority w:val="22"/>
    <w:qFormat/>
    <w:rsid w:val="009D6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ilkamin-cz.cz/edilkamin/kontrola-kotl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2016-03-11T10:31:00Z</dcterms:created>
  <dcterms:modified xsi:type="dcterms:W3CDTF">2016-03-11T10:32:00Z</dcterms:modified>
</cp:coreProperties>
</file>